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  <w:bCs/>
          <w:lang w:eastAsia="en-US"/>
        </w:rPr>
      </w:pPr>
      <w:r>
        <w:rPr>
          <w:rFonts w:ascii="Arial" w:hAnsi="Arial"/>
          <w:b/>
          <w:bCs/>
          <w:i/>
          <w:iCs/>
          <w:sz w:val="20"/>
          <w:szCs w:val="20"/>
          <w:lang w:eastAsia="en-US"/>
        </w:rPr>
        <w:t>PREDLOG PROGRAMA DELA KOMISIJE ZA LOVSKO INFORMACIJSKI SISTEM ZA LETO 202</w:t>
      </w:r>
      <w:r>
        <w:rPr>
          <w:rFonts w:ascii="Arial" w:hAnsi="Arial"/>
          <w:b/>
          <w:bCs/>
          <w:i/>
          <w:iCs/>
          <w:sz w:val="20"/>
          <w:szCs w:val="20"/>
          <w:lang w:eastAsia="en-US"/>
        </w:rPr>
        <w:t>2</w:t>
      </w:r>
    </w:p>
    <w:p>
      <w:pPr>
        <w:pStyle w:val="Normal"/>
        <w:bidi w:val="0"/>
        <w:jc w:val="both"/>
        <w:rPr>
          <w:rFonts w:ascii="Arial" w:hAnsi="Arial"/>
          <w:bCs/>
          <w:lang w:eastAsia="en-US"/>
        </w:rPr>
      </w:pPr>
      <w:r>
        <w:rPr>
          <w:rFonts w:ascii="Arial" w:hAnsi="Arial"/>
          <w:bCs/>
          <w:lang w:eastAsia="en-US"/>
        </w:rPr>
      </w:r>
    </w:p>
    <w:tbl>
      <w:tblPr>
        <w:tblW w:w="909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45"/>
        <w:gridCol w:w="4065"/>
        <w:gridCol w:w="1500"/>
        <w:gridCol w:w="1628"/>
        <w:gridCol w:w="1260"/>
      </w:tblGrid>
      <w:tr>
        <w:trPr/>
        <w:tc>
          <w:tcPr>
            <w:tcW w:w="645" w:type="dxa"/>
            <w:tcBorders/>
            <w:shd w:color="auto" w:fill="99CC66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65" w:type="dxa"/>
            <w:tcBorders/>
            <w:shd w:color="auto" w:fill="99CC66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AKTIVNOST</w:t>
            </w:r>
          </w:p>
        </w:tc>
        <w:tc>
          <w:tcPr>
            <w:tcW w:w="1500" w:type="dxa"/>
            <w:tcBorders/>
            <w:shd w:color="auto" w:fill="99CC66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NOSILEC</w:t>
            </w:r>
          </w:p>
        </w:tc>
        <w:tc>
          <w:tcPr>
            <w:tcW w:w="1628" w:type="dxa"/>
            <w:tcBorders/>
            <w:shd w:color="auto" w:fill="99CC66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SODELUJE</w:t>
            </w:r>
          </w:p>
        </w:tc>
        <w:tc>
          <w:tcPr>
            <w:tcW w:w="1260" w:type="dxa"/>
            <w:tcBorders/>
            <w:shd w:color="auto" w:fill="99CC66" w:val="clear"/>
          </w:tcPr>
          <w:p>
            <w:pPr>
              <w:pStyle w:val="Vsebinatabele"/>
              <w:widowControl w:val="false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</w:rPr>
              <w:t>ROK</w:t>
            </w:r>
          </w:p>
        </w:tc>
      </w:tr>
      <w:tr>
        <w:trPr>
          <w:trHeight w:val="629" w:hRule="atLeast"/>
        </w:trPr>
        <w:tc>
          <w:tcPr>
            <w:tcW w:w="64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  <w:bCs/>
                <w:lang w:eastAsia="en-US"/>
              </w:rPr>
              <w:t>Usposabljanje članic BKZLD za urejanje spletne strani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Predsednik komisije</w:t>
            </w:r>
          </w:p>
        </w:tc>
        <w:tc>
          <w:tcPr>
            <w:tcW w:w="1628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februar-marec</w:t>
            </w:r>
          </w:p>
        </w:tc>
      </w:tr>
      <w:tr>
        <w:trPr>
          <w:trHeight w:val="629" w:hRule="atLeast"/>
        </w:trPr>
        <w:tc>
          <w:tcPr>
            <w:tcW w:w="64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  <w:bCs/>
                <w:lang w:eastAsia="en-US"/>
              </w:rPr>
              <w:t>Urejanje spletne strani in Facebook profila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Predsednik komisije</w:t>
            </w:r>
          </w:p>
        </w:tc>
        <w:tc>
          <w:tcPr>
            <w:tcW w:w="1628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Celo leto</w:t>
            </w:r>
          </w:p>
        </w:tc>
      </w:tr>
      <w:tr>
        <w:trPr/>
        <w:tc>
          <w:tcPr>
            <w:tcW w:w="64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  <w:bCs/>
                <w:lang w:eastAsia="en-US"/>
              </w:rPr>
              <w:t>Sodelovanje s članicami pri urejanju podatkov v aplikaciji Lisjak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Predsednik komisije</w:t>
            </w:r>
          </w:p>
        </w:tc>
        <w:tc>
          <w:tcPr>
            <w:tcW w:w="1628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Celo leto</w:t>
            </w:r>
          </w:p>
        </w:tc>
      </w:tr>
      <w:tr>
        <w:trPr/>
        <w:tc>
          <w:tcPr>
            <w:tcW w:w="64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Cs/>
                <w:lang w:eastAsia="en-US"/>
              </w:rPr>
            </w:pPr>
            <w:r>
              <w:rPr>
                <w:rFonts w:ascii="Arial" w:hAnsi="Arial"/>
                <w:bCs/>
                <w:lang w:eastAsia="en-US"/>
              </w:rPr>
              <w:t>Pomoč in koordinacija pri urejanju spletne strani članic BKZLD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628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Celo leto</w:t>
            </w:r>
          </w:p>
        </w:tc>
      </w:tr>
      <w:tr>
        <w:trPr/>
        <w:tc>
          <w:tcPr>
            <w:tcW w:w="64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065" w:type="dxa"/>
            <w:tcBorders/>
            <w:shd w:color="auto" w:fill="auto" w:val="clear"/>
            <w:vAlign w:val="cente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Morebitni popravki oziroma dopolnitve spletne strani BKZLD in spletne strani članic BKZLD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Predsednik komisije</w:t>
            </w:r>
          </w:p>
        </w:tc>
        <w:tc>
          <w:tcPr>
            <w:tcW w:w="1628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Člani komisije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Celo leto</w:t>
            </w:r>
          </w:p>
        </w:tc>
      </w:tr>
    </w:tbl>
    <w:p>
      <w:pPr>
        <w:pStyle w:val="Normal"/>
        <w:bidi w:val="0"/>
        <w:jc w:val="both"/>
        <w:rPr>
          <w:rFonts w:ascii="Arial" w:hAnsi="Arial"/>
          <w:bCs/>
          <w:lang w:eastAsia="en-US"/>
        </w:rPr>
      </w:pPr>
      <w:r>
        <w:rPr>
          <w:rFonts w:ascii="Arial" w:hAnsi="Arial"/>
          <w:bCs/>
          <w:lang w:eastAsia="en-US"/>
        </w:rPr>
      </w:r>
    </w:p>
    <w:p>
      <w:pPr>
        <w:pStyle w:val="Normal"/>
        <w:bidi w:val="0"/>
        <w:jc w:val="both"/>
        <w:rPr>
          <w:rFonts w:ascii="Arial" w:hAnsi="Arial"/>
          <w:bCs/>
          <w:lang w:eastAsia="en-US"/>
        </w:rPr>
      </w:pPr>
      <w:r>
        <w:rPr>
          <w:rFonts w:ascii="Arial" w:hAnsi="Arial"/>
          <w:bCs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Finančne načrt dela komisije za lovsko informacijski sistem za leto 2021:</w:t>
      </w:r>
    </w:p>
    <w:p>
      <w:pPr>
        <w:pStyle w:val="Normal"/>
        <w:bidi w:val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</w:r>
    </w:p>
    <w:tbl>
      <w:tblPr>
        <w:tblW w:w="7306" w:type="dxa"/>
        <w:jc w:val="left"/>
        <w:tblInd w:w="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096"/>
        <w:gridCol w:w="2209"/>
      </w:tblGrid>
      <w:tr>
        <w:trPr/>
        <w:tc>
          <w:tcPr>
            <w:tcW w:w="509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- stroški članov komisije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150 €</w:t>
            </w:r>
          </w:p>
        </w:tc>
      </w:tr>
      <w:tr>
        <w:trPr/>
        <w:tc>
          <w:tcPr>
            <w:tcW w:w="509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- delavnica in strokovna pomoč članicam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 xml:space="preserve">  </w:t>
            </w:r>
            <w:r>
              <w:rPr>
                <w:rFonts w:ascii="Arial" w:hAnsi="Arial"/>
                <w:color w:val="000000"/>
                <w:szCs w:val="22"/>
              </w:rPr>
              <w:t>BKZLD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Arial" w:hAnsi="Arial"/>
                <w:color w:val="000000"/>
                <w:szCs w:val="22"/>
              </w:rPr>
            </w:pPr>
            <w:r>
              <w:rPr>
                <w:rFonts w:eastAsia="NSimSun" w:cs="Arial" w:ascii="Arial" w:hAnsi="Arial"/>
                <w:color w:val="000000"/>
                <w:kern w:val="2"/>
                <w:sz w:val="24"/>
                <w:szCs w:val="22"/>
                <w:lang w:val="sl-SI" w:eastAsia="zh-CN" w:bidi="hi-IN"/>
              </w:rPr>
              <w:t xml:space="preserve">250 </w:t>
            </w:r>
            <w:r>
              <w:rPr>
                <w:rFonts w:ascii="Arial" w:hAnsi="Arial"/>
                <w:color w:val="000000"/>
                <w:szCs w:val="22"/>
              </w:rPr>
              <w:t>€</w:t>
            </w:r>
          </w:p>
        </w:tc>
      </w:tr>
      <w:tr>
        <w:trPr/>
        <w:tc>
          <w:tcPr>
            <w:tcW w:w="509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- spletna stran – plačilo domene in gostovanje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120 €</w:t>
            </w:r>
          </w:p>
        </w:tc>
      </w:tr>
      <w:tr>
        <w:trPr/>
        <w:tc>
          <w:tcPr>
            <w:tcW w:w="5096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-  nepredvidene dopolnitve spletne strani</w:t>
            </w:r>
          </w:p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 </w:t>
            </w:r>
            <w:r>
              <w:rPr>
                <w:rFonts w:ascii="Arial" w:hAnsi="Arial"/>
                <w:szCs w:val="22"/>
              </w:rPr>
              <w:t>BKZLD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ind w:right="-57" w:hanging="0"/>
              <w:jc w:val="right"/>
              <w:rPr>
                <w:rFonts w:ascii="Arial" w:hAnsi="Arial"/>
                <w:color w:val="000000"/>
                <w:szCs w:val="22"/>
              </w:rPr>
            </w:pPr>
            <w:r>
              <w:rPr>
                <w:rFonts w:eastAsia="SimSun" w:cs="Arial" w:ascii="Arial" w:hAnsi="Arial"/>
                <w:color w:val="000000"/>
                <w:kern w:val="2"/>
                <w:sz w:val="24"/>
                <w:szCs w:val="22"/>
                <w:lang w:val="sl-SI" w:eastAsia="zh-CN" w:bidi="hi-IN"/>
              </w:rPr>
              <w:t xml:space="preserve">200 </w:t>
            </w:r>
            <w:r>
              <w:rPr>
                <w:rFonts w:ascii="Arial" w:hAnsi="Arial"/>
                <w:color w:val="000000"/>
                <w:szCs w:val="22"/>
              </w:rPr>
              <w:t>€</w:t>
            </w:r>
          </w:p>
        </w:tc>
      </w:tr>
      <w:tr>
        <w:trPr/>
        <w:tc>
          <w:tcPr>
            <w:tcW w:w="5096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SKUPAJ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Vsebinatabele"/>
              <w:widowControl w:val="false"/>
              <w:bidi w:val="0"/>
              <w:jc w:val="right"/>
              <w:rPr/>
            </w:pPr>
            <w:r>
              <w:rPr>
                <w:rFonts w:eastAsia="SimSun" w:cs="Arial" w:ascii="Arial" w:hAnsi="Arial"/>
                <w:b/>
                <w:bCs/>
                <w:color w:val="000000"/>
                <w:kern w:val="2"/>
                <w:sz w:val="24"/>
                <w:szCs w:val="22"/>
                <w:lang w:val="sl-SI" w:eastAsia="zh-CN" w:bidi="hi-IN"/>
              </w:rPr>
              <w:t xml:space="preserve">720 </w:t>
            </w:r>
            <w:r>
              <w:rPr>
                <w:rFonts w:ascii="Arial" w:hAnsi="Arial"/>
                <w:b/>
                <w:bCs/>
                <w:color w:val="000000"/>
                <w:szCs w:val="22"/>
              </w:rPr>
              <w:t>€</w:t>
            </w:r>
          </w:p>
        </w:tc>
      </w:tr>
    </w:tbl>
    <w:p>
      <w:pPr>
        <w:pStyle w:val="Normal"/>
        <w:bidi w:val="0"/>
        <w:jc w:val="left"/>
        <w:rPr>
          <w:rFonts w:ascii="Calibri" w:hAnsi="Calibri" w:cs="Calibr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l-SI" w:eastAsia="zh-CN" w:bidi="hi-IN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Vsebinatabele">
    <w:name w:val="Vsebina tabele"/>
    <w:basedOn w:val="Normal"/>
    <w:qFormat/>
    <w:pPr>
      <w:widowControl w:val="false"/>
      <w:suppressLineNumbers/>
      <w:suppressAutoHyphens w:val="true"/>
    </w:pPr>
    <w:rPr>
      <w:rFonts w:eastAsia="SimSun" w:cs="Arial"/>
      <w:kern w:val="2"/>
      <w:lang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138</Words>
  <Characters>797</Characters>
  <CharactersWithSpaces>898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2021-05-23T21:00:10Z</dcterms:created>
  <dc:creator/>
  <dc:description/>
  <dc:language>sl-SI</dc:language>
  <cp:lastModifiedBy/>
  <dcterms:modified xsi:type="dcterms:W3CDTF">2022-02-01T12:55:02Z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